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72EA" w:rsidRPr="00824716" w:rsidRDefault="00FF72EA" w:rsidP="00FF72EA">
      <w:pPr>
        <w:jc w:val="center"/>
        <w:rPr>
          <w:rFonts w:ascii="Verdana" w:hAnsi="Verdana"/>
          <w:b/>
          <w:sz w:val="24"/>
          <w:szCs w:val="24"/>
        </w:rPr>
      </w:pPr>
      <w:r w:rsidRPr="00824716">
        <w:rPr>
          <w:rFonts w:ascii="Verdana" w:hAnsi="Verdana"/>
          <w:b/>
          <w:sz w:val="24"/>
          <w:szCs w:val="24"/>
        </w:rPr>
        <w:t xml:space="preserve">Progression Travaux pratiques classe de </w:t>
      </w:r>
      <w:r w:rsidR="008F2EE4">
        <w:rPr>
          <w:rFonts w:ascii="Verdana" w:hAnsi="Verdana"/>
          <w:b/>
          <w:sz w:val="24"/>
          <w:szCs w:val="24"/>
        </w:rPr>
        <w:t>première spécialité</w:t>
      </w:r>
    </w:p>
    <w:p w:rsidR="00FF72EA" w:rsidRPr="00824716" w:rsidRDefault="00FF72EA" w:rsidP="00FF72EA">
      <w:pPr>
        <w:jc w:val="center"/>
        <w:rPr>
          <w:rFonts w:ascii="Verdana" w:hAnsi="Verdana"/>
          <w:b/>
          <w:sz w:val="24"/>
          <w:szCs w:val="24"/>
        </w:rPr>
      </w:pPr>
      <w:r w:rsidRPr="00824716">
        <w:rPr>
          <w:rFonts w:ascii="Verdana" w:hAnsi="Verdana"/>
          <w:b/>
          <w:sz w:val="24"/>
          <w:szCs w:val="24"/>
        </w:rPr>
        <w:t>Thème 1 / Constitution et transformation de la matière</w:t>
      </w:r>
    </w:p>
    <w:tbl>
      <w:tblPr>
        <w:tblStyle w:val="Grilledutableau"/>
        <w:tblW w:w="0" w:type="auto"/>
        <w:tblLook w:val="04A0"/>
      </w:tblPr>
      <w:tblGrid>
        <w:gridCol w:w="4606"/>
        <w:gridCol w:w="4606"/>
      </w:tblGrid>
      <w:tr w:rsidR="00FF72EA" w:rsidRPr="005B3498" w:rsidTr="00191235">
        <w:tc>
          <w:tcPr>
            <w:tcW w:w="4606" w:type="dxa"/>
          </w:tcPr>
          <w:p w:rsidR="00FF72EA" w:rsidRPr="00665D4A" w:rsidRDefault="00665D4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Quantités de matière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665D4A">
              <w:rPr>
                <w:rFonts w:ascii="Verdana" w:hAnsi="Verdana"/>
                <w:sz w:val="24"/>
                <w:szCs w:val="24"/>
              </w:rPr>
              <w:t>TP1</w:t>
            </w:r>
          </w:p>
        </w:tc>
        <w:tc>
          <w:tcPr>
            <w:tcW w:w="4606" w:type="dxa"/>
          </w:tcPr>
          <w:p w:rsidR="00FF72EA" w:rsidRDefault="00665D4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Prélèvement d’une quantité de magnésium et d’acide chlorhydrique en excès</w:t>
            </w:r>
          </w:p>
          <w:p w:rsidR="00665D4A" w:rsidRPr="00665D4A" w:rsidRDefault="00665D4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Détermination du volume molaire d’un gaz</w:t>
            </w:r>
          </w:p>
        </w:tc>
      </w:tr>
      <w:tr w:rsidR="00FF72EA" w:rsidRPr="005B3498" w:rsidTr="00191235">
        <w:tc>
          <w:tcPr>
            <w:tcW w:w="4606" w:type="dxa"/>
          </w:tcPr>
          <w:p w:rsidR="00FF72EA" w:rsidRPr="00665D4A" w:rsidRDefault="00665D4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Préparer une solution de concentration connue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665D4A">
              <w:rPr>
                <w:rFonts w:ascii="Verdana" w:hAnsi="Verdana"/>
                <w:sz w:val="24"/>
                <w:szCs w:val="24"/>
              </w:rPr>
              <w:t>TP2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Default="00665D4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Horloge à diiode</w:t>
            </w:r>
          </w:p>
          <w:p w:rsidR="00665D4A" w:rsidRDefault="00665D4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Réaction de Landolt</w:t>
            </w:r>
          </w:p>
          <w:p w:rsidR="00665D4A" w:rsidRDefault="00665D4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Iodate de potassium KIO</w:t>
            </w:r>
            <w:r>
              <w:rPr>
                <w:rFonts w:ascii="Verdana" w:hAnsi="Verdana"/>
                <w:sz w:val="24"/>
                <w:szCs w:val="24"/>
                <w:vertAlign w:val="subscript"/>
              </w:rPr>
              <w:t>3</w:t>
            </w:r>
          </w:p>
          <w:p w:rsidR="00665D4A" w:rsidRDefault="00665D4A" w:rsidP="00191235">
            <w:pPr>
              <w:jc w:val="center"/>
              <w:rPr>
                <w:rFonts w:ascii="Verdana" w:hAnsi="Verdana"/>
                <w:sz w:val="24"/>
                <w:szCs w:val="24"/>
                <w:vertAlign w:val="subscript"/>
              </w:rPr>
            </w:pPr>
            <w:r>
              <w:rPr>
                <w:rFonts w:ascii="Verdana" w:hAnsi="Verdana"/>
                <w:sz w:val="24"/>
                <w:szCs w:val="24"/>
              </w:rPr>
              <w:t>Sulfite de sodium Na</w:t>
            </w:r>
            <w:r>
              <w:rPr>
                <w:rFonts w:ascii="Verdana" w:hAnsi="Verdana"/>
                <w:sz w:val="24"/>
                <w:szCs w:val="24"/>
                <w:vertAlign w:val="subscript"/>
              </w:rPr>
              <w:t>2</w:t>
            </w:r>
            <w:r>
              <w:rPr>
                <w:rFonts w:ascii="Verdana" w:hAnsi="Verdana"/>
                <w:sz w:val="24"/>
                <w:szCs w:val="24"/>
              </w:rPr>
              <w:t>SO</w:t>
            </w:r>
            <w:r>
              <w:rPr>
                <w:rFonts w:ascii="Verdana" w:hAnsi="Verdana"/>
                <w:sz w:val="24"/>
                <w:szCs w:val="24"/>
                <w:vertAlign w:val="subscript"/>
              </w:rPr>
              <w:t>3</w:t>
            </w:r>
          </w:p>
          <w:p w:rsidR="00665D4A" w:rsidRPr="00C94C1A" w:rsidRDefault="00665D4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Empois d’amidon et acide sulfurique</w:t>
            </w:r>
          </w:p>
        </w:tc>
      </w:tr>
      <w:tr w:rsidR="00FF72EA" w:rsidRPr="005B3498" w:rsidTr="00191235">
        <w:tc>
          <w:tcPr>
            <w:tcW w:w="4606" w:type="dxa"/>
          </w:tcPr>
          <w:p w:rsidR="00FF72EA" w:rsidRPr="00665D4A" w:rsidRDefault="00C94C1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Dosage spectrophotométrique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665D4A">
              <w:rPr>
                <w:rFonts w:ascii="Verdana" w:hAnsi="Verdana"/>
                <w:sz w:val="24"/>
                <w:szCs w:val="24"/>
              </w:rPr>
              <w:t>TP3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Pr="00665D4A" w:rsidRDefault="00C94C1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 xml:space="preserve">Bonbon </w:t>
            </w:r>
            <w:r w:rsidR="00163B81">
              <w:rPr>
                <w:rFonts w:ascii="Verdana" w:hAnsi="Verdana"/>
                <w:sz w:val="24"/>
                <w:szCs w:val="24"/>
              </w:rPr>
              <w:t>Schtroumpf</w:t>
            </w:r>
          </w:p>
        </w:tc>
      </w:tr>
      <w:tr w:rsidR="00FF72EA" w:rsidRPr="005B3498" w:rsidTr="00191235">
        <w:tc>
          <w:tcPr>
            <w:tcW w:w="4606" w:type="dxa"/>
          </w:tcPr>
          <w:p w:rsidR="00C94C1A" w:rsidRPr="00665D4A" w:rsidRDefault="00C94C1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Réaction d’oxydoréduction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665D4A">
              <w:rPr>
                <w:rFonts w:ascii="Verdana" w:hAnsi="Verdana"/>
                <w:sz w:val="24"/>
                <w:szCs w:val="24"/>
              </w:rPr>
              <w:t>TP4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Default="00C94C1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Ecriture et avancement</w:t>
            </w:r>
          </w:p>
          <w:p w:rsidR="00C94C1A" w:rsidRDefault="00C94C1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Permanganate fer II</w:t>
            </w:r>
          </w:p>
          <w:p w:rsidR="00C94C1A" w:rsidRDefault="00C94C1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Ions cuivre et fer</w:t>
            </w:r>
          </w:p>
          <w:p w:rsidR="00C94C1A" w:rsidRPr="00665D4A" w:rsidRDefault="00C94C1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Ions argent et cuivre</w:t>
            </w:r>
          </w:p>
        </w:tc>
      </w:tr>
      <w:tr w:rsidR="00FF72EA" w:rsidRPr="005B3498" w:rsidTr="00191235">
        <w:tc>
          <w:tcPr>
            <w:tcW w:w="4606" w:type="dxa"/>
          </w:tcPr>
          <w:p w:rsidR="00FF72EA" w:rsidRPr="00665D4A" w:rsidRDefault="00C94C1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Réaction totale ou limitée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665D4A">
              <w:rPr>
                <w:rFonts w:ascii="Verdana" w:hAnsi="Verdana"/>
                <w:sz w:val="24"/>
                <w:szCs w:val="24"/>
              </w:rPr>
              <w:t>TP5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Pr="00665D4A" w:rsidRDefault="00C94C1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Réaction entre les ions argent et fer II au bain-marie</w:t>
            </w:r>
          </w:p>
        </w:tc>
      </w:tr>
      <w:tr w:rsidR="00FF72EA" w:rsidRPr="005B3498" w:rsidTr="00191235">
        <w:tc>
          <w:tcPr>
            <w:tcW w:w="4606" w:type="dxa"/>
          </w:tcPr>
          <w:p w:rsidR="00C94C1A" w:rsidRDefault="00C94C1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Avancement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665D4A">
              <w:rPr>
                <w:rFonts w:ascii="Verdana" w:hAnsi="Verdana"/>
                <w:sz w:val="24"/>
                <w:szCs w:val="24"/>
              </w:rPr>
              <w:t>TP6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Default="00C94C1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Python</w:t>
            </w:r>
          </w:p>
          <w:p w:rsidR="00C94C1A" w:rsidRPr="00665D4A" w:rsidRDefault="00C94C1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Déterminer la composition de l’état final d’un système chimique avec un langage de programmation</w:t>
            </w:r>
          </w:p>
        </w:tc>
      </w:tr>
      <w:tr w:rsidR="00FF72EA" w:rsidRPr="005B3498" w:rsidTr="00191235">
        <w:tc>
          <w:tcPr>
            <w:tcW w:w="4606" w:type="dxa"/>
          </w:tcPr>
          <w:p w:rsidR="00FF72EA" w:rsidRPr="00665D4A" w:rsidRDefault="00BB270B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 xml:space="preserve">Titrage colorimétrique </w:t>
            </w:r>
            <w:r w:rsidR="00163B81">
              <w:rPr>
                <w:rFonts w:ascii="Verdana" w:hAnsi="Verdana"/>
                <w:sz w:val="24"/>
                <w:szCs w:val="24"/>
              </w:rPr>
              <w:t>redox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665D4A">
              <w:rPr>
                <w:rFonts w:ascii="Verdana" w:hAnsi="Verdana"/>
                <w:sz w:val="24"/>
                <w:szCs w:val="24"/>
              </w:rPr>
              <w:t>TP7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Default="00BB270B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Fer II</w:t>
            </w:r>
          </w:p>
          <w:p w:rsidR="00BB270B" w:rsidRDefault="00BB270B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Diiode</w:t>
            </w:r>
          </w:p>
          <w:p w:rsidR="00BB270B" w:rsidRPr="00665D4A" w:rsidRDefault="00BB270B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Eau oxygénée</w:t>
            </w:r>
          </w:p>
        </w:tc>
      </w:tr>
      <w:tr w:rsidR="00FF72EA" w:rsidRPr="005B3498" w:rsidTr="00191235">
        <w:tc>
          <w:tcPr>
            <w:tcW w:w="4606" w:type="dxa"/>
          </w:tcPr>
          <w:p w:rsidR="00FF72EA" w:rsidRPr="00665D4A" w:rsidRDefault="00D91369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Molécule polaire ou apolaire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665D4A">
              <w:rPr>
                <w:rFonts w:ascii="Verdana" w:hAnsi="Verdana"/>
                <w:sz w:val="24"/>
                <w:szCs w:val="24"/>
              </w:rPr>
              <w:t>TP8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Default="00D91369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Modèles moléculaires</w:t>
            </w:r>
          </w:p>
          <w:p w:rsidR="00D91369" w:rsidRPr="00665D4A" w:rsidRDefault="00D91369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+ Expérience de déviation électrostatique d’un solvant</w:t>
            </w:r>
          </w:p>
        </w:tc>
      </w:tr>
      <w:tr w:rsidR="00FF72EA" w:rsidRPr="005B3498" w:rsidTr="00191235">
        <w:tc>
          <w:tcPr>
            <w:tcW w:w="4606" w:type="dxa"/>
          </w:tcPr>
          <w:p w:rsidR="00FF72EA" w:rsidRPr="00665D4A" w:rsidRDefault="00D91369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Dissolution d’un composé ionique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665D4A">
              <w:rPr>
                <w:rFonts w:ascii="Verdana" w:hAnsi="Verdana"/>
                <w:sz w:val="24"/>
                <w:szCs w:val="24"/>
              </w:rPr>
              <w:t>TP9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Default="003A27AC" w:rsidP="00191235">
            <w:pPr>
              <w:jc w:val="center"/>
              <w:rPr>
                <w:rFonts w:ascii="Verdana" w:hAnsi="Verdana"/>
                <w:sz w:val="24"/>
                <w:szCs w:val="24"/>
                <w:vertAlign w:val="subscript"/>
              </w:rPr>
            </w:pPr>
            <w:r>
              <w:rPr>
                <w:rFonts w:ascii="Verdana" w:hAnsi="Verdana"/>
                <w:sz w:val="24"/>
                <w:szCs w:val="24"/>
              </w:rPr>
              <w:t>Dissolution CaCl</w:t>
            </w:r>
            <w:r>
              <w:rPr>
                <w:rFonts w:ascii="Verdana" w:hAnsi="Verdana"/>
                <w:sz w:val="24"/>
                <w:szCs w:val="24"/>
                <w:vertAlign w:val="subscript"/>
              </w:rPr>
              <w:t>2</w:t>
            </w:r>
          </w:p>
          <w:p w:rsidR="003A27AC" w:rsidRDefault="003A27A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Titrage des ions chlorure méthode de Mohr</w:t>
            </w:r>
          </w:p>
          <w:p w:rsidR="003A27AC" w:rsidRPr="003A27AC" w:rsidRDefault="003A27A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Titrage des ions calcium par l’EDTA</w:t>
            </w:r>
          </w:p>
        </w:tc>
      </w:tr>
      <w:tr w:rsidR="00FF72EA" w:rsidRPr="005B3498" w:rsidTr="00191235">
        <w:tc>
          <w:tcPr>
            <w:tcW w:w="4606" w:type="dxa"/>
          </w:tcPr>
          <w:p w:rsidR="00FF72EA" w:rsidRPr="00665D4A" w:rsidRDefault="003A27A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Solubilité, extraction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665D4A">
              <w:rPr>
                <w:rFonts w:ascii="Verdana" w:hAnsi="Verdana"/>
                <w:sz w:val="24"/>
                <w:szCs w:val="24"/>
              </w:rPr>
              <w:t>TP10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Default="003A27A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Solubilité dans un solvant</w:t>
            </w:r>
          </w:p>
          <w:p w:rsidR="003A27AC" w:rsidRPr="00665D4A" w:rsidRDefault="003A27A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Rendement d’une extraction</w:t>
            </w:r>
          </w:p>
        </w:tc>
      </w:tr>
      <w:tr w:rsidR="00FF72EA" w:rsidRPr="005B3498" w:rsidTr="00191235">
        <w:tc>
          <w:tcPr>
            <w:tcW w:w="4606" w:type="dxa"/>
          </w:tcPr>
          <w:p w:rsidR="00FF72EA" w:rsidRPr="00665D4A" w:rsidRDefault="003A27A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Propriétés des savons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665D4A">
              <w:rPr>
                <w:rFonts w:ascii="Verdana" w:hAnsi="Verdana"/>
                <w:sz w:val="24"/>
                <w:szCs w:val="24"/>
              </w:rPr>
              <w:t>TP11</w:t>
            </w:r>
          </w:p>
        </w:tc>
        <w:tc>
          <w:tcPr>
            <w:tcW w:w="4606" w:type="dxa"/>
          </w:tcPr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</w:tr>
      <w:tr w:rsidR="00FF72EA" w:rsidRPr="005B3498" w:rsidTr="00191235">
        <w:tc>
          <w:tcPr>
            <w:tcW w:w="4606" w:type="dxa"/>
          </w:tcPr>
          <w:p w:rsidR="00FF72E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  <w:p w:rsidR="00FA4A8C" w:rsidRPr="00665D4A" w:rsidRDefault="00FA4A8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lastRenderedPageBreak/>
              <w:t>Molécules organiques</w:t>
            </w:r>
          </w:p>
          <w:p w:rsidR="00FF72EA" w:rsidRPr="00665D4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665D4A">
              <w:rPr>
                <w:rFonts w:ascii="Verdana" w:hAnsi="Verdana"/>
                <w:sz w:val="24"/>
                <w:szCs w:val="24"/>
              </w:rPr>
              <w:t>TP12</w:t>
            </w:r>
          </w:p>
        </w:tc>
        <w:tc>
          <w:tcPr>
            <w:tcW w:w="4606" w:type="dxa"/>
          </w:tcPr>
          <w:p w:rsidR="00FF72EA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  <w:p w:rsidR="00FA4A8C" w:rsidRPr="00665D4A" w:rsidRDefault="00FA4A8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lastRenderedPageBreak/>
              <w:t>Utilisation du logiciel chemsketch</w:t>
            </w:r>
          </w:p>
        </w:tc>
      </w:tr>
      <w:tr w:rsidR="00FA4A8C" w:rsidRPr="005B3498" w:rsidTr="00191235">
        <w:tc>
          <w:tcPr>
            <w:tcW w:w="4606" w:type="dxa"/>
          </w:tcPr>
          <w:p w:rsidR="00FA4A8C" w:rsidRDefault="00FA4A8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lastRenderedPageBreak/>
              <w:t>Synthèse d’une espèce organique solide</w:t>
            </w:r>
          </w:p>
          <w:p w:rsidR="00FA4A8C" w:rsidRDefault="00FA4A8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TP13</w:t>
            </w:r>
          </w:p>
        </w:tc>
        <w:tc>
          <w:tcPr>
            <w:tcW w:w="4606" w:type="dxa"/>
          </w:tcPr>
          <w:p w:rsidR="00FA4A8C" w:rsidRDefault="00FA4A8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Synthèse allantoïne</w:t>
            </w:r>
          </w:p>
        </w:tc>
      </w:tr>
      <w:tr w:rsidR="00FA4A8C" w:rsidRPr="005B3498" w:rsidTr="00191235">
        <w:tc>
          <w:tcPr>
            <w:tcW w:w="4606" w:type="dxa"/>
          </w:tcPr>
          <w:p w:rsidR="00FA4A8C" w:rsidRDefault="00FA4A8C" w:rsidP="00FA4A8C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Synthèse d’une espèce organique liquide</w:t>
            </w:r>
          </w:p>
          <w:p w:rsidR="00FA4A8C" w:rsidRDefault="00FA4A8C" w:rsidP="00FA4A8C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TP13</w:t>
            </w:r>
          </w:p>
        </w:tc>
        <w:tc>
          <w:tcPr>
            <w:tcW w:w="4606" w:type="dxa"/>
          </w:tcPr>
          <w:p w:rsidR="00FA4A8C" w:rsidRDefault="00FA4A8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Oxydation d’un alcool primaire ou secondaire</w:t>
            </w:r>
          </w:p>
        </w:tc>
      </w:tr>
      <w:tr w:rsidR="00FA4A8C" w:rsidRPr="005B3498" w:rsidTr="00191235">
        <w:tc>
          <w:tcPr>
            <w:tcW w:w="4606" w:type="dxa"/>
          </w:tcPr>
          <w:p w:rsidR="00FA4A8C" w:rsidRDefault="00A21A74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Combustion</w:t>
            </w:r>
          </w:p>
          <w:p w:rsidR="00A21A74" w:rsidRDefault="00A21A74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TP14</w:t>
            </w:r>
          </w:p>
        </w:tc>
        <w:tc>
          <w:tcPr>
            <w:tcW w:w="4606" w:type="dxa"/>
          </w:tcPr>
          <w:p w:rsidR="00FA4A8C" w:rsidRDefault="00A21A74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Pouvoir calorifique de l’éthanol</w:t>
            </w:r>
          </w:p>
        </w:tc>
      </w:tr>
    </w:tbl>
    <w:p w:rsidR="00FF72EA" w:rsidRDefault="00FF72EA" w:rsidP="00FF72EA">
      <w:pPr>
        <w:jc w:val="center"/>
        <w:rPr>
          <w:rFonts w:ascii="Verdana" w:hAnsi="Verdana"/>
          <w:sz w:val="24"/>
          <w:szCs w:val="24"/>
        </w:rPr>
      </w:pPr>
    </w:p>
    <w:p w:rsidR="00FF72EA" w:rsidRDefault="00FF72EA" w:rsidP="00FF72EA">
      <w:pPr>
        <w:jc w:val="center"/>
        <w:rPr>
          <w:rFonts w:ascii="Verdana" w:hAnsi="Verdana"/>
          <w:sz w:val="24"/>
          <w:szCs w:val="24"/>
        </w:rPr>
      </w:pPr>
    </w:p>
    <w:p w:rsidR="00FF72EA" w:rsidRPr="00824716" w:rsidRDefault="00FF72EA" w:rsidP="00FF72EA">
      <w:pPr>
        <w:jc w:val="center"/>
        <w:rPr>
          <w:rFonts w:ascii="Verdana" w:hAnsi="Verdana"/>
          <w:b/>
          <w:sz w:val="24"/>
          <w:szCs w:val="24"/>
        </w:rPr>
      </w:pPr>
      <w:r w:rsidRPr="00824716">
        <w:rPr>
          <w:rFonts w:ascii="Verdana" w:hAnsi="Verdana"/>
          <w:b/>
          <w:sz w:val="24"/>
          <w:szCs w:val="24"/>
        </w:rPr>
        <w:t>Thème 2 / Mouvement et interactions</w:t>
      </w:r>
    </w:p>
    <w:tbl>
      <w:tblPr>
        <w:tblStyle w:val="Grilledutableau"/>
        <w:tblW w:w="0" w:type="auto"/>
        <w:tblLook w:val="04A0"/>
      </w:tblPr>
      <w:tblGrid>
        <w:gridCol w:w="4606"/>
        <w:gridCol w:w="4606"/>
      </w:tblGrid>
      <w:tr w:rsidR="00FF72EA" w:rsidRPr="005B3498" w:rsidTr="00191235">
        <w:tc>
          <w:tcPr>
            <w:tcW w:w="4606" w:type="dxa"/>
          </w:tcPr>
          <w:p w:rsidR="0095632C" w:rsidRDefault="0095632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Interactions fondamentales et champs</w:t>
            </w:r>
          </w:p>
          <w:p w:rsidR="00FF72EA" w:rsidRPr="00DF710F" w:rsidRDefault="000C5963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DF710F">
              <w:rPr>
                <w:rFonts w:ascii="Verdana" w:hAnsi="Verdana"/>
                <w:sz w:val="24"/>
                <w:szCs w:val="24"/>
              </w:rPr>
              <w:t>TP15</w:t>
            </w:r>
          </w:p>
          <w:p w:rsidR="00FF72EA" w:rsidRPr="00DF710F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Default="0095632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Interaction électrostatique</w:t>
            </w:r>
          </w:p>
          <w:p w:rsidR="0095632C" w:rsidRPr="00DF710F" w:rsidRDefault="0095632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Champ électrique</w:t>
            </w:r>
          </w:p>
        </w:tc>
      </w:tr>
      <w:tr w:rsidR="00FF72EA" w:rsidRPr="005B3498" w:rsidTr="00191235">
        <w:tc>
          <w:tcPr>
            <w:tcW w:w="4606" w:type="dxa"/>
          </w:tcPr>
          <w:p w:rsidR="0095632C" w:rsidRDefault="0095632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Interactions fondamentales et champs</w:t>
            </w:r>
          </w:p>
          <w:p w:rsidR="00FF72EA" w:rsidRPr="00DF710F" w:rsidRDefault="0095632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TP16</w:t>
            </w:r>
          </w:p>
          <w:p w:rsidR="00FF72EA" w:rsidRPr="00DF710F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Pr="00DF710F" w:rsidRDefault="0095632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Champ électrique</w:t>
            </w:r>
          </w:p>
        </w:tc>
      </w:tr>
      <w:tr w:rsidR="00FF72EA" w:rsidRPr="005B3498" w:rsidTr="00191235">
        <w:tc>
          <w:tcPr>
            <w:tcW w:w="4606" w:type="dxa"/>
          </w:tcPr>
          <w:p w:rsidR="00FF72EA" w:rsidRPr="00DF710F" w:rsidRDefault="0095632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Fluide au repos</w:t>
            </w:r>
          </w:p>
          <w:p w:rsidR="00FF72EA" w:rsidRPr="00DF710F" w:rsidRDefault="0095632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TP17</w:t>
            </w:r>
          </w:p>
          <w:p w:rsidR="00FF72EA" w:rsidRPr="00DF710F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  <w:p w:rsidR="00FF72EA" w:rsidRPr="00DF710F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Pr="00DF710F" w:rsidRDefault="0095632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Tester la loi de Mariotte par exemple en utilisant un microcontrôleur</w:t>
            </w:r>
          </w:p>
        </w:tc>
      </w:tr>
      <w:tr w:rsidR="00FF72EA" w:rsidRPr="005B3498" w:rsidTr="00191235">
        <w:tc>
          <w:tcPr>
            <w:tcW w:w="4606" w:type="dxa"/>
          </w:tcPr>
          <w:p w:rsidR="00FF72EA" w:rsidRPr="00DF710F" w:rsidRDefault="0095632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Fluide au repos</w:t>
            </w:r>
          </w:p>
          <w:p w:rsidR="00FF72EA" w:rsidRPr="00DF710F" w:rsidRDefault="0095632C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TP18</w:t>
            </w:r>
          </w:p>
          <w:p w:rsidR="00FF72EA" w:rsidRPr="00DF710F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Pr="00DF710F" w:rsidRDefault="0095632C" w:rsidP="0095632C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Tester la loi fondamentale de la statique des fluides</w:t>
            </w:r>
          </w:p>
        </w:tc>
      </w:tr>
      <w:tr w:rsidR="00FF72EA" w:rsidRPr="005B3498" w:rsidTr="00191235">
        <w:tc>
          <w:tcPr>
            <w:tcW w:w="4606" w:type="dxa"/>
          </w:tcPr>
          <w:p w:rsidR="00FF72EA" w:rsidRPr="00DF710F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DF710F">
              <w:rPr>
                <w:rFonts w:ascii="Verdana" w:hAnsi="Verdana"/>
                <w:sz w:val="24"/>
                <w:szCs w:val="24"/>
              </w:rPr>
              <w:t>Variation vecteur vitesse et somme des forces</w:t>
            </w:r>
          </w:p>
          <w:p w:rsidR="00FF72EA" w:rsidRPr="00DF710F" w:rsidRDefault="002A5489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TP19</w:t>
            </w:r>
          </w:p>
          <w:p w:rsidR="00FF72EA" w:rsidRPr="00DF710F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Default="002A5489" w:rsidP="002A5489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Réaliser et/ ou exploiter une vidéo</w:t>
            </w:r>
          </w:p>
          <w:p w:rsidR="002A5489" w:rsidRPr="00DF710F" w:rsidRDefault="002A5489" w:rsidP="002A5489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 xml:space="preserve"> + Python</w:t>
            </w:r>
          </w:p>
        </w:tc>
      </w:tr>
      <w:tr w:rsidR="00FF72EA" w:rsidRPr="005B3498" w:rsidTr="00191235">
        <w:tc>
          <w:tcPr>
            <w:tcW w:w="4606" w:type="dxa"/>
          </w:tcPr>
          <w:p w:rsidR="00FF72EA" w:rsidRPr="00DF710F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Pr="00DF710F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</w:tr>
      <w:tr w:rsidR="00FF72EA" w:rsidRPr="005B3498" w:rsidTr="00191235">
        <w:tc>
          <w:tcPr>
            <w:tcW w:w="4606" w:type="dxa"/>
          </w:tcPr>
          <w:p w:rsidR="00FF72EA" w:rsidRPr="00DF710F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Pr="00DF710F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</w:tr>
      <w:tr w:rsidR="00FF72EA" w:rsidRPr="005B3498" w:rsidTr="00191235">
        <w:tc>
          <w:tcPr>
            <w:tcW w:w="4606" w:type="dxa"/>
          </w:tcPr>
          <w:p w:rsidR="00FF72EA" w:rsidRPr="00DF710F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Pr="00DF710F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</w:tr>
    </w:tbl>
    <w:p w:rsidR="00FF72EA" w:rsidRDefault="00FF72EA" w:rsidP="00FF72EA">
      <w:pPr>
        <w:jc w:val="center"/>
        <w:rPr>
          <w:rFonts w:ascii="Verdana" w:hAnsi="Verdana"/>
          <w:b/>
          <w:sz w:val="24"/>
          <w:szCs w:val="24"/>
        </w:rPr>
      </w:pPr>
    </w:p>
    <w:p w:rsidR="00FF72EA" w:rsidRPr="00824716" w:rsidRDefault="00FF72EA" w:rsidP="00FF72EA">
      <w:pPr>
        <w:jc w:val="center"/>
        <w:rPr>
          <w:rFonts w:ascii="Verdana" w:hAnsi="Verdana"/>
          <w:b/>
          <w:sz w:val="24"/>
          <w:szCs w:val="24"/>
        </w:rPr>
      </w:pPr>
      <w:r w:rsidRPr="00824716">
        <w:rPr>
          <w:rFonts w:ascii="Verdana" w:hAnsi="Verdana"/>
          <w:b/>
          <w:sz w:val="24"/>
          <w:szCs w:val="24"/>
        </w:rPr>
        <w:t xml:space="preserve">Thème 3 / </w:t>
      </w:r>
      <w:r w:rsidR="005036F1">
        <w:rPr>
          <w:rFonts w:ascii="Verdana" w:hAnsi="Verdana"/>
          <w:b/>
          <w:sz w:val="24"/>
          <w:szCs w:val="24"/>
        </w:rPr>
        <w:t>Energie</w:t>
      </w:r>
      <w:r w:rsidR="00150AA9">
        <w:rPr>
          <w:rFonts w:ascii="Verdana" w:hAnsi="Verdana"/>
          <w:b/>
          <w:sz w:val="24"/>
          <w:szCs w:val="24"/>
        </w:rPr>
        <w:t xml:space="preserve"> conversions et transferts</w:t>
      </w:r>
    </w:p>
    <w:tbl>
      <w:tblPr>
        <w:tblStyle w:val="Grilledutableau"/>
        <w:tblW w:w="0" w:type="auto"/>
        <w:tblLook w:val="04A0"/>
      </w:tblPr>
      <w:tblGrid>
        <w:gridCol w:w="4606"/>
        <w:gridCol w:w="4606"/>
      </w:tblGrid>
      <w:tr w:rsidR="00FF72EA" w:rsidRPr="005B3498" w:rsidTr="00191235">
        <w:tc>
          <w:tcPr>
            <w:tcW w:w="4606" w:type="dxa"/>
          </w:tcPr>
          <w:p w:rsidR="00FF72EA" w:rsidRPr="008033C6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8033C6">
              <w:rPr>
                <w:rFonts w:ascii="Verdana" w:hAnsi="Verdana"/>
                <w:sz w:val="24"/>
                <w:szCs w:val="24"/>
              </w:rPr>
              <w:t>Mesure de la vitesse d’un signal sonore</w:t>
            </w:r>
          </w:p>
          <w:p w:rsidR="00FF72EA" w:rsidRPr="008033C6" w:rsidRDefault="008033C6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TP20</w:t>
            </w:r>
          </w:p>
          <w:p w:rsidR="00FF72EA" w:rsidRPr="008033C6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Pr="008033C6" w:rsidRDefault="008033C6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Caractéristique d’une pile</w:t>
            </w:r>
          </w:p>
        </w:tc>
      </w:tr>
      <w:tr w:rsidR="00FF72EA" w:rsidRPr="005B3498" w:rsidTr="00191235">
        <w:tc>
          <w:tcPr>
            <w:tcW w:w="4606" w:type="dxa"/>
          </w:tcPr>
          <w:p w:rsidR="00FF72EA" w:rsidRPr="008033C6" w:rsidRDefault="008033C6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Rendement d’un convertisseur</w:t>
            </w:r>
          </w:p>
          <w:p w:rsidR="00FF72EA" w:rsidRPr="008033C6" w:rsidRDefault="008033C6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TP21</w:t>
            </w:r>
          </w:p>
          <w:p w:rsidR="00FF72EA" w:rsidRDefault="00AC7EF8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lastRenderedPageBreak/>
              <w:t>Energie mécanique</w:t>
            </w:r>
          </w:p>
          <w:p w:rsidR="00AC7EF8" w:rsidRPr="008033C6" w:rsidRDefault="00AC7EF8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TP22</w:t>
            </w:r>
          </w:p>
        </w:tc>
        <w:tc>
          <w:tcPr>
            <w:tcW w:w="4606" w:type="dxa"/>
          </w:tcPr>
          <w:p w:rsidR="00FF72EA" w:rsidRDefault="008033C6" w:rsidP="008033C6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lastRenderedPageBreak/>
              <w:t>Etude d’une cellule photovoltaïque</w:t>
            </w:r>
          </w:p>
          <w:p w:rsidR="00AC7EF8" w:rsidRDefault="00AC7EF8" w:rsidP="008033C6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  <w:p w:rsidR="00AC7EF8" w:rsidRPr="008033C6" w:rsidRDefault="00AC7EF8" w:rsidP="008033C6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lastRenderedPageBreak/>
              <w:t>Etude énergétique à partir d’une vidéo</w:t>
            </w:r>
          </w:p>
        </w:tc>
      </w:tr>
      <w:tr w:rsidR="00FF72EA" w:rsidRPr="005B3498" w:rsidTr="00191235">
        <w:tc>
          <w:tcPr>
            <w:tcW w:w="4606" w:type="dxa"/>
          </w:tcPr>
          <w:p w:rsidR="00AC7EF8" w:rsidRDefault="00AC7EF8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lastRenderedPageBreak/>
              <w:t>Energie mécanique</w:t>
            </w:r>
          </w:p>
          <w:p w:rsidR="00FF72EA" w:rsidRPr="008033C6" w:rsidRDefault="00AC7EF8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TP23</w:t>
            </w:r>
          </w:p>
          <w:p w:rsidR="00FF72EA" w:rsidRPr="008033C6" w:rsidRDefault="00FF72EA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FF72EA" w:rsidRPr="008033C6" w:rsidRDefault="00AC7EF8" w:rsidP="0019123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Python</w:t>
            </w:r>
          </w:p>
        </w:tc>
      </w:tr>
    </w:tbl>
    <w:p w:rsidR="00C70347" w:rsidRDefault="00C70347"/>
    <w:p w:rsidR="00AC7EF8" w:rsidRDefault="00AC7EF8" w:rsidP="00AC7EF8">
      <w:pPr>
        <w:jc w:val="center"/>
        <w:rPr>
          <w:rFonts w:ascii="Verdana" w:hAnsi="Verdana"/>
          <w:b/>
          <w:sz w:val="24"/>
          <w:szCs w:val="24"/>
        </w:rPr>
      </w:pPr>
      <w:r w:rsidRPr="00824716">
        <w:rPr>
          <w:rFonts w:ascii="Verdana" w:hAnsi="Verdana"/>
          <w:b/>
          <w:sz w:val="24"/>
          <w:szCs w:val="24"/>
        </w:rPr>
        <w:t xml:space="preserve">Thème 3 / </w:t>
      </w:r>
      <w:r w:rsidR="00150AA9">
        <w:rPr>
          <w:rFonts w:ascii="Verdana" w:hAnsi="Verdana"/>
          <w:b/>
          <w:sz w:val="24"/>
          <w:szCs w:val="24"/>
        </w:rPr>
        <w:t>Ondes et signaux</w:t>
      </w:r>
    </w:p>
    <w:tbl>
      <w:tblPr>
        <w:tblStyle w:val="Grilledutableau"/>
        <w:tblW w:w="0" w:type="auto"/>
        <w:tblLook w:val="04A0"/>
      </w:tblPr>
      <w:tblGrid>
        <w:gridCol w:w="4606"/>
        <w:gridCol w:w="4606"/>
      </w:tblGrid>
      <w:tr w:rsidR="00150AA9" w:rsidRPr="00150AA9" w:rsidTr="00150AA9">
        <w:tc>
          <w:tcPr>
            <w:tcW w:w="4606" w:type="dxa"/>
          </w:tcPr>
          <w:p w:rsidR="00150AA9" w:rsidRPr="00150AA9" w:rsidRDefault="00150AA9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150AA9">
              <w:rPr>
                <w:rFonts w:ascii="Verdana" w:hAnsi="Verdana"/>
                <w:sz w:val="24"/>
                <w:szCs w:val="24"/>
              </w:rPr>
              <w:t>Onde mécanique</w:t>
            </w:r>
          </w:p>
          <w:p w:rsidR="00150AA9" w:rsidRPr="00150AA9" w:rsidRDefault="00150AA9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150AA9">
              <w:rPr>
                <w:rFonts w:ascii="Verdana" w:hAnsi="Verdana"/>
                <w:sz w:val="24"/>
                <w:szCs w:val="24"/>
              </w:rPr>
              <w:t>TP24</w:t>
            </w:r>
          </w:p>
        </w:tc>
        <w:tc>
          <w:tcPr>
            <w:tcW w:w="4606" w:type="dxa"/>
          </w:tcPr>
          <w:p w:rsidR="00150AA9" w:rsidRDefault="00150AA9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Célérité et retard</w:t>
            </w:r>
          </w:p>
          <w:p w:rsidR="00150AA9" w:rsidRDefault="00150AA9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Ondes sismiques</w:t>
            </w:r>
          </w:p>
          <w:p w:rsidR="00150AA9" w:rsidRPr="00150AA9" w:rsidRDefault="00150AA9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Vidéos ressort</w:t>
            </w:r>
          </w:p>
        </w:tc>
      </w:tr>
      <w:tr w:rsidR="00150AA9" w:rsidRPr="00150AA9" w:rsidTr="00150AA9">
        <w:tc>
          <w:tcPr>
            <w:tcW w:w="4606" w:type="dxa"/>
          </w:tcPr>
          <w:p w:rsidR="00150AA9" w:rsidRDefault="00150AA9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Onde mécanique sinusoïdale</w:t>
            </w:r>
          </w:p>
          <w:p w:rsidR="00150AA9" w:rsidRPr="00150AA9" w:rsidRDefault="00150AA9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TP25</w:t>
            </w:r>
          </w:p>
        </w:tc>
        <w:tc>
          <w:tcPr>
            <w:tcW w:w="4606" w:type="dxa"/>
          </w:tcPr>
          <w:p w:rsidR="00150AA9" w:rsidRDefault="00150AA9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Ultrasons</w:t>
            </w:r>
          </w:p>
          <w:p w:rsidR="00150AA9" w:rsidRDefault="00150AA9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Période, fréquence, longueur d’onde</w:t>
            </w:r>
          </w:p>
          <w:p w:rsidR="00150AA9" w:rsidRPr="00150AA9" w:rsidRDefault="00150AA9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Film cuve à ondes</w:t>
            </w:r>
          </w:p>
        </w:tc>
      </w:tr>
      <w:tr w:rsidR="00150AA9" w:rsidRPr="00150AA9" w:rsidTr="00150AA9">
        <w:tc>
          <w:tcPr>
            <w:tcW w:w="4606" w:type="dxa"/>
          </w:tcPr>
          <w:p w:rsidR="00150AA9" w:rsidRDefault="005A70B5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Onde</w:t>
            </w:r>
          </w:p>
          <w:p w:rsidR="005A70B5" w:rsidRPr="00150AA9" w:rsidRDefault="005A70B5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TP26</w:t>
            </w:r>
          </w:p>
        </w:tc>
        <w:tc>
          <w:tcPr>
            <w:tcW w:w="4606" w:type="dxa"/>
          </w:tcPr>
          <w:p w:rsidR="00150AA9" w:rsidRPr="00150AA9" w:rsidRDefault="005A70B5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Python</w:t>
            </w:r>
          </w:p>
        </w:tc>
      </w:tr>
      <w:tr w:rsidR="00150AA9" w:rsidRPr="00150AA9" w:rsidTr="00150AA9">
        <w:tc>
          <w:tcPr>
            <w:tcW w:w="4606" w:type="dxa"/>
          </w:tcPr>
          <w:p w:rsidR="00150AA9" w:rsidRDefault="007B72F7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Lentille convergente</w:t>
            </w:r>
          </w:p>
          <w:p w:rsidR="007B72F7" w:rsidRPr="00150AA9" w:rsidRDefault="007B72F7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TP27</w:t>
            </w:r>
          </w:p>
        </w:tc>
        <w:tc>
          <w:tcPr>
            <w:tcW w:w="4606" w:type="dxa"/>
          </w:tcPr>
          <w:p w:rsidR="00150AA9" w:rsidRPr="00150AA9" w:rsidRDefault="007B72F7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Tester la relation de conjugaison d’une lentille mince convergente</w:t>
            </w:r>
          </w:p>
        </w:tc>
      </w:tr>
      <w:tr w:rsidR="00150AA9" w:rsidRPr="00150AA9" w:rsidTr="00150AA9">
        <w:tc>
          <w:tcPr>
            <w:tcW w:w="4606" w:type="dxa"/>
          </w:tcPr>
          <w:p w:rsidR="007B72F7" w:rsidRDefault="007B72F7" w:rsidP="007B7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Lentille convergente</w:t>
            </w:r>
          </w:p>
          <w:p w:rsidR="00150AA9" w:rsidRPr="00150AA9" w:rsidRDefault="007B72F7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TP28</w:t>
            </w:r>
          </w:p>
        </w:tc>
        <w:tc>
          <w:tcPr>
            <w:tcW w:w="4606" w:type="dxa"/>
          </w:tcPr>
          <w:p w:rsidR="00150AA9" w:rsidRDefault="007B72F7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Mise au point</w:t>
            </w:r>
          </w:p>
          <w:p w:rsidR="007B72F7" w:rsidRDefault="007B72F7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Appareil photographique et Œil</w:t>
            </w:r>
          </w:p>
          <w:p w:rsidR="007B72F7" w:rsidRPr="00150AA9" w:rsidRDefault="007B72F7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</w:tr>
      <w:tr w:rsidR="00150AA9" w:rsidRPr="00150AA9" w:rsidTr="00150AA9">
        <w:tc>
          <w:tcPr>
            <w:tcW w:w="4606" w:type="dxa"/>
          </w:tcPr>
          <w:p w:rsidR="00150AA9" w:rsidRDefault="007B72F7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Lumière et couleur d’un objet</w:t>
            </w:r>
          </w:p>
          <w:p w:rsidR="007B72F7" w:rsidRPr="00150AA9" w:rsidRDefault="007B72F7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TP29</w:t>
            </w:r>
          </w:p>
        </w:tc>
        <w:tc>
          <w:tcPr>
            <w:tcW w:w="4606" w:type="dxa"/>
          </w:tcPr>
          <w:p w:rsidR="00150AA9" w:rsidRPr="00150AA9" w:rsidRDefault="00442383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Synthèse additive et soustractive des couleurs</w:t>
            </w:r>
          </w:p>
        </w:tc>
      </w:tr>
      <w:tr w:rsidR="00150AA9" w:rsidRPr="00150AA9" w:rsidTr="00150AA9">
        <w:tc>
          <w:tcPr>
            <w:tcW w:w="4606" w:type="dxa"/>
          </w:tcPr>
          <w:p w:rsidR="00150AA9" w:rsidRDefault="00442383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Lumière et photon</w:t>
            </w:r>
          </w:p>
          <w:p w:rsidR="00442383" w:rsidRPr="00150AA9" w:rsidRDefault="00442383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TP30</w:t>
            </w:r>
          </w:p>
        </w:tc>
        <w:tc>
          <w:tcPr>
            <w:tcW w:w="4606" w:type="dxa"/>
          </w:tcPr>
          <w:p w:rsidR="00150AA9" w:rsidRPr="00150AA9" w:rsidRDefault="00442383" w:rsidP="00AC7EF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Obtenir le spectre d’une source spectrale</w:t>
            </w:r>
          </w:p>
        </w:tc>
      </w:tr>
      <w:tr w:rsidR="00150AA9" w:rsidRPr="00150AA9" w:rsidTr="00150AA9">
        <w:tc>
          <w:tcPr>
            <w:tcW w:w="4606" w:type="dxa"/>
          </w:tcPr>
          <w:p w:rsidR="00150AA9" w:rsidRPr="00B45408" w:rsidRDefault="00442383" w:rsidP="00AC7EF8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B45408">
              <w:rPr>
                <w:rFonts w:ascii="Verdana" w:hAnsi="Verdana"/>
                <w:color w:val="FF0000"/>
                <w:sz w:val="24"/>
                <w:szCs w:val="24"/>
              </w:rPr>
              <w:t>Lumière et photon si on a le temps</w:t>
            </w:r>
            <w:r w:rsidR="00B45408" w:rsidRPr="00B45408">
              <w:rPr>
                <w:rFonts w:ascii="Verdana" w:hAnsi="Verdana"/>
                <w:color w:val="FF0000"/>
                <w:sz w:val="24"/>
                <w:szCs w:val="24"/>
              </w:rPr>
              <w:t xml:space="preserve"> </w:t>
            </w:r>
          </w:p>
          <w:p w:rsidR="00442383" w:rsidRPr="00B45408" w:rsidRDefault="00442383" w:rsidP="00AC7EF8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B45408">
              <w:rPr>
                <w:rFonts w:ascii="Verdana" w:hAnsi="Verdana"/>
                <w:color w:val="FF0000"/>
                <w:sz w:val="24"/>
                <w:szCs w:val="24"/>
              </w:rPr>
              <w:t>TP31</w:t>
            </w:r>
          </w:p>
        </w:tc>
        <w:tc>
          <w:tcPr>
            <w:tcW w:w="4606" w:type="dxa"/>
          </w:tcPr>
          <w:p w:rsidR="00B45408" w:rsidRPr="00B45408" w:rsidRDefault="00B45408" w:rsidP="00AC7EF8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B45408">
              <w:rPr>
                <w:rFonts w:ascii="Verdana" w:hAnsi="Verdana"/>
                <w:color w:val="FF0000"/>
                <w:sz w:val="24"/>
                <w:szCs w:val="24"/>
              </w:rPr>
              <w:t>Tester la relation</w:t>
            </w:r>
          </w:p>
          <w:p w:rsidR="00150AA9" w:rsidRPr="00B45408" w:rsidRDefault="00DC63BD" w:rsidP="00AC7EF8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hyperlink r:id="rId5" w:history="1">
              <w:r w:rsidR="00442383" w:rsidRPr="00D376EC">
                <w:rPr>
                  <w:rStyle w:val="Lienhypertexte"/>
                  <w:rFonts w:ascii="Verdana" w:hAnsi="Verdana"/>
                  <w:sz w:val="24"/>
                  <w:szCs w:val="24"/>
                </w:rPr>
                <w:t xml:space="preserve">E = h x </w:t>
              </w:r>
              <w:r w:rsidR="00442383" w:rsidRPr="00D376EC">
                <w:rPr>
                  <w:rStyle w:val="Lienhypertexte"/>
                  <w:rFonts w:ascii="Verdana" w:hAnsi="Verdana"/>
                  <w:sz w:val="24"/>
                  <w:szCs w:val="24"/>
                </w:rPr>
                <w:sym w:font="Symbol" w:char="F06E"/>
              </w:r>
            </w:hyperlink>
            <w:r w:rsidR="00442383" w:rsidRPr="00B45408">
              <w:rPr>
                <w:rFonts w:ascii="Verdana" w:hAnsi="Verdana"/>
                <w:color w:val="FF0000"/>
                <w:sz w:val="24"/>
                <w:szCs w:val="24"/>
              </w:rPr>
              <w:t xml:space="preserve"> </w:t>
            </w:r>
          </w:p>
          <w:p w:rsidR="00442383" w:rsidRPr="00B45408" w:rsidRDefault="00442383" w:rsidP="00AC7EF8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</w:tc>
      </w:tr>
    </w:tbl>
    <w:p w:rsidR="00150AA9" w:rsidRPr="00150AA9" w:rsidRDefault="00150AA9" w:rsidP="00AC7EF8">
      <w:pPr>
        <w:jc w:val="center"/>
        <w:rPr>
          <w:rFonts w:ascii="Verdana" w:hAnsi="Verdana"/>
          <w:sz w:val="24"/>
          <w:szCs w:val="24"/>
        </w:rPr>
      </w:pPr>
    </w:p>
    <w:p w:rsidR="00AC7EF8" w:rsidRDefault="00AC7EF8" w:rsidP="00AC7EF8">
      <w:pPr>
        <w:jc w:val="center"/>
      </w:pPr>
    </w:p>
    <w:sectPr w:rsidR="00AC7EF8" w:rsidSect="00C703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0"/>
  <w:proofState w:spelling="clean" w:grammar="clean"/>
  <w:defaultTabStop w:val="708"/>
  <w:hyphenationZone w:val="425"/>
  <w:characterSpacingControl w:val="doNotCompress"/>
  <w:compat/>
  <w:rsids>
    <w:rsidRoot w:val="00FF72EA"/>
    <w:rsid w:val="000C5963"/>
    <w:rsid w:val="00150AA9"/>
    <w:rsid w:val="00163B81"/>
    <w:rsid w:val="002A5489"/>
    <w:rsid w:val="003A27AC"/>
    <w:rsid w:val="003C2EF4"/>
    <w:rsid w:val="00442383"/>
    <w:rsid w:val="005036F1"/>
    <w:rsid w:val="005A70B5"/>
    <w:rsid w:val="00665D4A"/>
    <w:rsid w:val="007B72F7"/>
    <w:rsid w:val="008033C6"/>
    <w:rsid w:val="00811584"/>
    <w:rsid w:val="008F2EE4"/>
    <w:rsid w:val="0095632C"/>
    <w:rsid w:val="00A21A74"/>
    <w:rsid w:val="00AC7EF8"/>
    <w:rsid w:val="00B45408"/>
    <w:rsid w:val="00BB270B"/>
    <w:rsid w:val="00C70347"/>
    <w:rsid w:val="00C94C1A"/>
    <w:rsid w:val="00CB1AD5"/>
    <w:rsid w:val="00D376EC"/>
    <w:rsid w:val="00D91369"/>
    <w:rsid w:val="00DC63BD"/>
    <w:rsid w:val="00DF710F"/>
    <w:rsid w:val="00FA4A8C"/>
    <w:rsid w:val="00FF72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72E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FF72E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uiPriority w:val="99"/>
    <w:unhideWhenUsed/>
    <w:rsid w:val="00FF72E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TPPhoton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AACAEF-8FDC-428E-ABD4-35DF25AF55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3</Pages>
  <Words>444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meyer</dc:creator>
  <cp:lastModifiedBy>meyer</cp:lastModifiedBy>
  <cp:revision>19</cp:revision>
  <dcterms:created xsi:type="dcterms:W3CDTF">2019-05-08T10:03:00Z</dcterms:created>
  <dcterms:modified xsi:type="dcterms:W3CDTF">2019-05-08T11:19:00Z</dcterms:modified>
</cp:coreProperties>
</file>